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79D317" w14:textId="047E39CD" w:rsidR="00E478F0" w:rsidRDefault="00651C80">
      <w:pPr>
        <w:pStyle w:val="Titre"/>
        <w:rPr>
          <w:color w:val="00163F"/>
        </w:rPr>
      </w:pPr>
      <w:r>
        <w:rPr>
          <w:noProof/>
        </w:rPr>
        <w:drawing>
          <wp:anchor distT="0" distB="0" distL="0" distR="0" simplePos="0" relativeHeight="15729664" behindDoc="0" locked="0" layoutInCell="1" allowOverlap="1" wp14:anchorId="39F259F8" wp14:editId="23C169C9">
            <wp:simplePos x="0" y="0"/>
            <wp:positionH relativeFrom="page">
              <wp:posOffset>754380</wp:posOffset>
            </wp:positionH>
            <wp:positionV relativeFrom="paragraph">
              <wp:posOffset>142240</wp:posOffset>
            </wp:positionV>
            <wp:extent cx="1256030" cy="46482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6030" cy="464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163F"/>
        </w:rPr>
        <w:t>TARALAY</w:t>
      </w:r>
      <w:r>
        <w:rPr>
          <w:color w:val="00163F"/>
          <w:spacing w:val="-5"/>
        </w:rPr>
        <w:t xml:space="preserve"> </w:t>
      </w:r>
      <w:r>
        <w:rPr>
          <w:color w:val="00163F"/>
        </w:rPr>
        <w:t>INITIAL</w:t>
      </w:r>
      <w:r>
        <w:rPr>
          <w:color w:val="00163F"/>
          <w:spacing w:val="-3"/>
        </w:rPr>
        <w:t xml:space="preserve"> </w:t>
      </w:r>
      <w:r w:rsidR="005D7168">
        <w:rPr>
          <w:color w:val="00163F"/>
        </w:rPr>
        <w:t>ACOUSTIC</w:t>
      </w:r>
    </w:p>
    <w:p w14:paraId="0F23D6FC" w14:textId="77777777" w:rsidR="00E478F0" w:rsidRDefault="00E478F0">
      <w:pPr>
        <w:pStyle w:val="Corpsdetexte"/>
        <w:rPr>
          <w:rFonts w:ascii="Arial MT"/>
          <w:sz w:val="20"/>
        </w:rPr>
      </w:pPr>
    </w:p>
    <w:p w14:paraId="4AF73281" w14:textId="77777777" w:rsidR="00E13EEC" w:rsidRDefault="00E13EEC">
      <w:pPr>
        <w:spacing w:before="52"/>
        <w:ind w:left="120" w:right="115"/>
        <w:jc w:val="both"/>
        <w:rPr>
          <w:sz w:val="24"/>
        </w:rPr>
      </w:pPr>
    </w:p>
    <w:p w14:paraId="1A2F60C1" w14:textId="77777777" w:rsidR="009B55D4" w:rsidRDefault="009B55D4" w:rsidP="00342D97">
      <w:pPr>
        <w:spacing w:before="52" w:line="276" w:lineRule="auto"/>
        <w:ind w:left="-142" w:right="115"/>
        <w:jc w:val="both"/>
        <w:rPr>
          <w:rFonts w:asciiTheme="minorHAnsi" w:hAnsiTheme="minorHAnsi" w:cstheme="minorHAnsi"/>
          <w:color w:val="0F243E" w:themeColor="text2" w:themeShade="80"/>
          <w:sz w:val="24"/>
        </w:rPr>
      </w:pPr>
    </w:p>
    <w:p w14:paraId="0C738FB2" w14:textId="6C733118" w:rsidR="00342D97" w:rsidRDefault="00487017" w:rsidP="00342D97">
      <w:pPr>
        <w:spacing w:before="52" w:line="276" w:lineRule="auto"/>
        <w:ind w:left="-142" w:right="115"/>
        <w:jc w:val="both"/>
        <w:rPr>
          <w:rFonts w:asciiTheme="minorHAnsi" w:hAnsiTheme="minorHAnsi" w:cstheme="minorHAnsi"/>
          <w:color w:val="0F243E" w:themeColor="text2" w:themeShade="80"/>
          <w:sz w:val="24"/>
        </w:rPr>
      </w:pPr>
      <w:r w:rsidRPr="00342D97">
        <w:rPr>
          <w:rFonts w:asciiTheme="minorHAnsi" w:hAnsiTheme="minorHAnsi" w:cstheme="minorHAnsi"/>
          <w:noProof/>
          <w:color w:val="0F243E" w:themeColor="text2" w:themeShade="80"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 wp14:anchorId="3B79F29C" wp14:editId="7448E66A">
                <wp:simplePos x="0" y="0"/>
                <wp:positionH relativeFrom="page">
                  <wp:posOffset>2386330</wp:posOffset>
                </wp:positionH>
                <wp:positionV relativeFrom="paragraph">
                  <wp:posOffset>-98425</wp:posOffset>
                </wp:positionV>
                <wp:extent cx="4343400" cy="0"/>
                <wp:effectExtent l="0" t="0" r="0" b="0"/>
                <wp:wrapNone/>
                <wp:docPr id="31976570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434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163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1BAA6E" id="Line 3" o:spid="_x0000_s1026" style="position:absolute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7.9pt,-7.75pt" to="529.9pt,-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/KtrwEAAEkDAAAOAAAAZHJzL2Uyb0RvYy54bWysU8Fu2zAMvQ/YPwi6L3bSrRiMOD2kyy7d&#10;FqDdBzCSbAuVRYFU4uTvJ6lJOnS3oTAgkCL59PhIL++OoxMHQ2zRt3I+q6UwXqG2vm/l76fNp69S&#10;cASvwaE3rTwZlnerjx+WU2jMAgd02pBIIJ6bKbRyiDE0VcVqMCPwDIPxKdghjRCTS32lCaaEPrpq&#10;Ude31YSkA6EyzOn2/iUoVwW/64yKv7qOTRSulYlbLCeVc5fParWEpicIg1VnGvAfLEawPj16hbqH&#10;CGJP9h+o0SpCxi7OFI4Vdp1VpvSQupnXb7p5HCCY0ksSh8NVJn4/WPXzsPZbytTV0T+GB1TPLDyu&#10;B/C9KQSeTiENbp6lqqbAzbUkOxy2JHbTD9QpB/YRiwrHjsYMmfoTxyL26Sq2OUah0uXnm/TVaSbq&#10;EquguRQG4vjd4Ciy0UpnfdYBGjg8cMxEoLmk5GuPG+tcmaXzYmrl4kuGziFGZ3WOFof63dqROEBe&#10;h3p+e7Mpbb1JI9x7XdAGA/rb2Y5g3YudXnf+rEYWIG8bNzvUpy1dVErzKjTPu5UX4m+/VL/+Aas/&#10;AAAA//8DAFBLAwQUAAYACAAAACEA2v4O594AAAAMAQAADwAAAGRycy9kb3ducmV2LnhtbEyPy07D&#10;MBBF90j8gzVIbFBrtyiBhjgVAorKsq+9Ew9xaDyOYrcJf48rIcHyPnTnTL4cbcvO2PvGkYTZVABD&#10;qpxuqJaw360mj8B8UKRV6wglfKOHZXF9latMu4E2eN6GmsUR8pmSYELoMs59ZdAqP3UdUsw+XW9V&#10;iLKvue7VEMdty+dCpNyqhuIFozp8MVgdtycrIb17HdzHfF0eN++Lt9R8HVZGHKS8vRmfn4AFHMNf&#10;GS74ER2KyFS6E2nPWgn3D0lEDxImsyQBdmmIZBGt8tfiRc7/P1H8AAAA//8DAFBLAQItABQABgAI&#10;AAAAIQC2gziS/gAAAOEBAAATAAAAAAAAAAAAAAAAAAAAAABbQ29udGVudF9UeXBlc10ueG1sUEsB&#10;Ai0AFAAGAAgAAAAhADj9If/WAAAAlAEAAAsAAAAAAAAAAAAAAAAALwEAAF9yZWxzLy5yZWxzUEsB&#10;Ai0AFAAGAAgAAAAhAJJr8q2vAQAASQMAAA4AAAAAAAAAAAAAAAAALgIAAGRycy9lMm9Eb2MueG1s&#10;UEsBAi0AFAAGAAgAAAAhANr+DufeAAAADAEAAA8AAAAAAAAAAAAAAAAACQQAAGRycy9kb3ducmV2&#10;LnhtbFBLBQYAAAAABAAEAPMAAAAUBQAAAAA=&#10;" strokecolor="#00163f" strokeweight="2pt">
                <w10:wrap anchorx="page"/>
              </v:line>
            </w:pict>
          </mc:Fallback>
        </mc:AlternateContent>
      </w:r>
    </w:p>
    <w:p w14:paraId="3947DBC0" w14:textId="26186C76" w:rsidR="00487017" w:rsidRDefault="00487017" w:rsidP="00487017">
      <w:pPr>
        <w:spacing w:before="52" w:line="276" w:lineRule="auto"/>
        <w:ind w:left="-142" w:right="115"/>
        <w:jc w:val="both"/>
        <w:rPr>
          <w:rFonts w:asciiTheme="minorHAnsi" w:hAnsiTheme="minorHAnsi" w:cstheme="minorHAnsi"/>
          <w:color w:val="0F243E" w:themeColor="text2" w:themeShade="80"/>
          <w:sz w:val="24"/>
          <w:szCs w:val="32"/>
        </w:rPr>
      </w:pPr>
      <w:r w:rsidRPr="00487017">
        <w:rPr>
          <w:rFonts w:asciiTheme="minorHAnsi" w:hAnsiTheme="minorHAnsi" w:cstheme="minorHAnsi"/>
          <w:color w:val="0F243E" w:themeColor="text2" w:themeShade="80"/>
          <w:sz w:val="24"/>
          <w:szCs w:val="32"/>
        </w:rPr>
        <w:t xml:space="preserve">Le revêtement retenu est un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 w:val="24"/>
          <w:szCs w:val="32"/>
        </w:rPr>
        <w:t>revêtement de sol vinyle compact multicouche</w:t>
      </w:r>
      <w:r w:rsidRPr="00487017">
        <w:rPr>
          <w:rFonts w:asciiTheme="minorHAnsi" w:hAnsiTheme="minorHAnsi" w:cstheme="minorHAnsi"/>
          <w:color w:val="0F243E" w:themeColor="text2" w:themeShade="80"/>
          <w:sz w:val="24"/>
          <w:szCs w:val="32"/>
        </w:rPr>
        <w:t xml:space="preserve">, armaturé par un voile de verre, doté d’une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 w:val="24"/>
          <w:szCs w:val="32"/>
        </w:rPr>
        <w:t>couche d’usure transparente non chargée</w:t>
      </w:r>
      <w:r w:rsidRPr="00487017">
        <w:rPr>
          <w:rFonts w:asciiTheme="minorHAnsi" w:hAnsiTheme="minorHAnsi" w:cstheme="minorHAnsi"/>
          <w:color w:val="0F243E" w:themeColor="text2" w:themeShade="80"/>
          <w:sz w:val="24"/>
          <w:szCs w:val="32"/>
        </w:rPr>
        <w:t xml:space="preserve"> et classé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 w:val="24"/>
          <w:szCs w:val="32"/>
        </w:rPr>
        <w:t>groupe T</w:t>
      </w:r>
      <w:r w:rsidRPr="00487017">
        <w:rPr>
          <w:rFonts w:asciiTheme="minorHAnsi" w:hAnsiTheme="minorHAnsi" w:cstheme="minorHAnsi"/>
          <w:color w:val="0F243E" w:themeColor="text2" w:themeShade="80"/>
          <w:sz w:val="24"/>
          <w:szCs w:val="32"/>
        </w:rPr>
        <w:t xml:space="preserve"> à l’abrasion. Il est fourni en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 w:val="24"/>
          <w:szCs w:val="32"/>
        </w:rPr>
        <w:t>rouleaux de 2,00 m de large</w:t>
      </w:r>
      <w:r w:rsidRPr="00487017">
        <w:rPr>
          <w:rFonts w:asciiTheme="minorHAnsi" w:hAnsiTheme="minorHAnsi" w:cstheme="minorHAnsi"/>
          <w:color w:val="0F243E" w:themeColor="text2" w:themeShade="80"/>
          <w:sz w:val="24"/>
          <w:szCs w:val="32"/>
        </w:rPr>
        <w:t xml:space="preserve">, de type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 w:val="24"/>
          <w:szCs w:val="32"/>
        </w:rPr>
        <w:t xml:space="preserve">TARALAY INITIAL </w:t>
      </w:r>
      <w:r w:rsidR="00363C7E">
        <w:rPr>
          <w:rFonts w:asciiTheme="minorHAnsi" w:hAnsiTheme="minorHAnsi" w:cstheme="minorHAnsi"/>
          <w:b/>
          <w:bCs/>
          <w:color w:val="0F243E" w:themeColor="text2" w:themeShade="80"/>
          <w:sz w:val="24"/>
          <w:szCs w:val="32"/>
        </w:rPr>
        <w:t>ACOUTIC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 w:val="24"/>
          <w:szCs w:val="32"/>
        </w:rPr>
        <w:t xml:space="preserve"> 33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 w:val="24"/>
          <w:szCs w:val="32"/>
        </w:rPr>
        <w:noBreakHyphen/>
        <w:t>43</w:t>
      </w:r>
      <w:r w:rsidRPr="00487017">
        <w:rPr>
          <w:rFonts w:asciiTheme="minorHAnsi" w:hAnsiTheme="minorHAnsi" w:cstheme="minorHAnsi"/>
          <w:color w:val="0F243E" w:themeColor="text2" w:themeShade="80"/>
          <w:sz w:val="24"/>
          <w:szCs w:val="32"/>
        </w:rPr>
        <w:t xml:space="preserve">. Le produit assure une </w:t>
      </w:r>
      <w:r w:rsidR="005D7168">
        <w:rPr>
          <w:rFonts w:asciiTheme="minorHAnsi" w:hAnsiTheme="minorHAnsi" w:cstheme="minorHAnsi"/>
          <w:b/>
          <w:bCs/>
          <w:color w:val="0F243E" w:themeColor="text2" w:themeShade="80"/>
          <w:sz w:val="24"/>
          <w:szCs w:val="32"/>
        </w:rPr>
        <w:t>excellente i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 w:val="24"/>
          <w:szCs w:val="32"/>
        </w:rPr>
        <w:t xml:space="preserve">solation acoustique de </w:t>
      </w:r>
      <w:r w:rsidR="005D7168">
        <w:rPr>
          <w:rFonts w:asciiTheme="minorHAnsi" w:hAnsiTheme="minorHAnsi" w:cstheme="minorHAnsi"/>
          <w:b/>
          <w:bCs/>
          <w:color w:val="0F243E" w:themeColor="text2" w:themeShade="80"/>
          <w:sz w:val="24"/>
          <w:szCs w:val="32"/>
        </w:rPr>
        <w:t>19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 w:val="24"/>
          <w:szCs w:val="32"/>
        </w:rPr>
        <w:t xml:space="preserve"> dB</w:t>
      </w:r>
      <w:r w:rsidR="00363C7E">
        <w:rPr>
          <w:rFonts w:asciiTheme="minorHAnsi" w:hAnsiTheme="minorHAnsi" w:cstheme="minorHAnsi"/>
          <w:color w:val="0F243E" w:themeColor="text2" w:themeShade="80"/>
          <w:sz w:val="24"/>
          <w:szCs w:val="32"/>
        </w:rPr>
        <w:t>, avec une bonne résistance au poinçonnement (0.10mm).</w:t>
      </w:r>
    </w:p>
    <w:p w14:paraId="1BCE8B0D" w14:textId="77777777" w:rsidR="00487017" w:rsidRPr="00487017" w:rsidRDefault="00487017" w:rsidP="00487017">
      <w:pPr>
        <w:spacing w:before="52" w:line="276" w:lineRule="auto"/>
        <w:ind w:left="-142" w:right="115"/>
        <w:jc w:val="both"/>
        <w:rPr>
          <w:rFonts w:asciiTheme="minorHAnsi" w:hAnsiTheme="minorHAnsi" w:cstheme="minorHAnsi"/>
          <w:color w:val="0F243E" w:themeColor="text2" w:themeShade="80"/>
          <w:sz w:val="24"/>
          <w:szCs w:val="32"/>
        </w:rPr>
      </w:pPr>
    </w:p>
    <w:p w14:paraId="14C629CC" w14:textId="3A4762D8" w:rsidR="00487017" w:rsidRDefault="00487017" w:rsidP="00487017">
      <w:pPr>
        <w:pStyle w:val="Corpsdetexte"/>
        <w:spacing w:line="276" w:lineRule="auto"/>
        <w:ind w:left="-142"/>
        <w:jc w:val="both"/>
        <w:rPr>
          <w:rFonts w:asciiTheme="minorHAnsi" w:hAnsiTheme="minorHAnsi" w:cstheme="minorHAnsi"/>
          <w:color w:val="0F243E" w:themeColor="text2" w:themeShade="80"/>
          <w:szCs w:val="32"/>
        </w:rPr>
      </w:pP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Taralay Initial </w:t>
      </w:r>
      <w:r w:rsidR="00363C7E">
        <w:rPr>
          <w:rFonts w:asciiTheme="minorHAnsi" w:hAnsiTheme="minorHAnsi" w:cstheme="minorHAnsi"/>
          <w:color w:val="0F243E" w:themeColor="text2" w:themeShade="80"/>
          <w:szCs w:val="32"/>
        </w:rPr>
        <w:t>Acoustic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 intègre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>1</w:t>
      </w:r>
      <w:r w:rsidR="00363C7E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>7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 xml:space="preserve"> % de contenu recyclé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 et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>5</w:t>
      </w:r>
      <w:r w:rsidR="00363C7E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>4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 xml:space="preserve"> % de matières minérales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. Il est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>exempt de phtalates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 et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>entièrement recyclable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. Les chutes de pose, ainsi que certains sols en fin de vie, peuvent être collectés et revalorisés dans le cadre du programme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>Gerflor Seconde Vie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>.</w:t>
      </w:r>
    </w:p>
    <w:p w14:paraId="251F4CD2" w14:textId="77777777" w:rsidR="00487017" w:rsidRPr="00487017" w:rsidRDefault="00487017" w:rsidP="00487017">
      <w:pPr>
        <w:pStyle w:val="Corpsdetexte"/>
        <w:spacing w:line="276" w:lineRule="auto"/>
        <w:ind w:left="-142"/>
        <w:jc w:val="both"/>
        <w:rPr>
          <w:rFonts w:asciiTheme="minorHAnsi" w:hAnsiTheme="minorHAnsi" w:cstheme="minorHAnsi"/>
          <w:color w:val="0F243E" w:themeColor="text2" w:themeShade="80"/>
          <w:szCs w:val="32"/>
        </w:rPr>
      </w:pPr>
    </w:p>
    <w:p w14:paraId="113E30CF" w14:textId="77777777" w:rsidR="00487017" w:rsidRDefault="00487017" w:rsidP="00487017">
      <w:pPr>
        <w:pStyle w:val="Corpsdetexte"/>
        <w:spacing w:line="276" w:lineRule="auto"/>
        <w:ind w:left="-142"/>
        <w:jc w:val="both"/>
        <w:rPr>
          <w:rFonts w:asciiTheme="minorHAnsi" w:hAnsiTheme="minorHAnsi" w:cstheme="minorHAnsi"/>
          <w:color w:val="0F243E" w:themeColor="text2" w:themeShade="80"/>
          <w:szCs w:val="32"/>
        </w:rPr>
      </w:pP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Le produit est garanti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>sans formaldéhyde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, sans métaux lourds, sans substances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>CMR 1 &amp; 2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,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>vPvB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 ou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>PBT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, et est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>100 % conforme au règlement REACH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. Les émissions de COV après 28 jours (NF EN 16000) sont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>&lt; 10 µg/m³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, permettant un classement sanitaire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>A+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>.</w:t>
      </w:r>
    </w:p>
    <w:p w14:paraId="063C2A36" w14:textId="77777777" w:rsidR="00487017" w:rsidRPr="00487017" w:rsidRDefault="00487017" w:rsidP="00487017">
      <w:pPr>
        <w:pStyle w:val="Corpsdetexte"/>
        <w:spacing w:line="276" w:lineRule="auto"/>
        <w:ind w:left="-142"/>
        <w:jc w:val="both"/>
        <w:rPr>
          <w:rFonts w:asciiTheme="minorHAnsi" w:hAnsiTheme="minorHAnsi" w:cstheme="minorHAnsi"/>
          <w:color w:val="0F243E" w:themeColor="text2" w:themeShade="80"/>
          <w:szCs w:val="32"/>
        </w:rPr>
      </w:pPr>
    </w:p>
    <w:p w14:paraId="19E3236F" w14:textId="77777777" w:rsidR="00487017" w:rsidRDefault="00487017" w:rsidP="00487017">
      <w:pPr>
        <w:pStyle w:val="Corpsdetexte"/>
        <w:spacing w:line="276" w:lineRule="auto"/>
        <w:ind w:left="-142"/>
        <w:jc w:val="both"/>
        <w:rPr>
          <w:rFonts w:asciiTheme="minorHAnsi" w:hAnsiTheme="minorHAnsi" w:cstheme="minorHAnsi"/>
          <w:color w:val="0F243E" w:themeColor="text2" w:themeShade="80"/>
          <w:szCs w:val="32"/>
        </w:rPr>
      </w:pP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Il est équipé du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>traitement de surface photoréticulé Protecsol®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>, offrant une protection anti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noBreakHyphen/>
        <w:t>encrassement qui supprime durablement tout besoin de métallisation ou d’entretien par méthode spray.</w:t>
      </w:r>
    </w:p>
    <w:p w14:paraId="7DB3B6F5" w14:textId="77777777" w:rsidR="00487017" w:rsidRPr="00487017" w:rsidRDefault="00487017" w:rsidP="00487017">
      <w:pPr>
        <w:pStyle w:val="Corpsdetexte"/>
        <w:spacing w:line="276" w:lineRule="auto"/>
        <w:ind w:left="-142"/>
        <w:jc w:val="both"/>
        <w:rPr>
          <w:rFonts w:asciiTheme="minorHAnsi" w:hAnsiTheme="minorHAnsi" w:cstheme="minorHAnsi"/>
          <w:color w:val="0F243E" w:themeColor="text2" w:themeShade="80"/>
          <w:szCs w:val="32"/>
        </w:rPr>
      </w:pPr>
    </w:p>
    <w:p w14:paraId="39D30F93" w14:textId="77777777" w:rsidR="00487017" w:rsidRDefault="00487017" w:rsidP="00487017">
      <w:pPr>
        <w:pStyle w:val="Corpsdetexte"/>
        <w:spacing w:line="276" w:lineRule="auto"/>
        <w:ind w:left="-142"/>
        <w:jc w:val="both"/>
        <w:rPr>
          <w:rFonts w:asciiTheme="minorHAnsi" w:hAnsiTheme="minorHAnsi" w:cstheme="minorHAnsi"/>
          <w:color w:val="0F243E" w:themeColor="text2" w:themeShade="80"/>
          <w:szCs w:val="32"/>
        </w:rPr>
      </w:pP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Le revêtement est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 xml:space="preserve">antistatique 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(Classe 1) et présente une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>activité antibactérienne certifiée ISO 22196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, permettant une réduction de 99 % des bactéries (E.coli, S. aureus, MRSA en 24 h). Conformément à la norme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>ISO 21702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, il possède également une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>activité antivirale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 démontrée sur Coronavirus humain, avec une réduction de 99,3 % en 2 h.</w:t>
      </w:r>
    </w:p>
    <w:p w14:paraId="2FE20DAA" w14:textId="77777777" w:rsidR="00487017" w:rsidRPr="00487017" w:rsidRDefault="00487017" w:rsidP="00487017">
      <w:pPr>
        <w:pStyle w:val="Corpsdetexte"/>
        <w:spacing w:line="276" w:lineRule="auto"/>
        <w:ind w:left="-142"/>
        <w:jc w:val="both"/>
        <w:rPr>
          <w:rFonts w:asciiTheme="minorHAnsi" w:hAnsiTheme="minorHAnsi" w:cstheme="minorHAnsi"/>
          <w:color w:val="0F243E" w:themeColor="text2" w:themeShade="80"/>
          <w:szCs w:val="32"/>
        </w:rPr>
      </w:pPr>
    </w:p>
    <w:p w14:paraId="7109415B" w14:textId="715A3773" w:rsidR="00487017" w:rsidRPr="00487017" w:rsidRDefault="00487017" w:rsidP="00487017">
      <w:pPr>
        <w:pStyle w:val="Corpsdetexte"/>
        <w:spacing w:line="276" w:lineRule="auto"/>
        <w:ind w:left="-142"/>
        <w:jc w:val="both"/>
        <w:rPr>
          <w:rFonts w:asciiTheme="minorHAnsi" w:hAnsiTheme="minorHAnsi" w:cstheme="minorHAnsi"/>
          <w:color w:val="0F243E" w:themeColor="text2" w:themeShade="80"/>
          <w:szCs w:val="32"/>
        </w:rPr>
      </w:pP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Taralay Initial </w:t>
      </w:r>
      <w:r w:rsidR="00363C7E">
        <w:rPr>
          <w:rFonts w:asciiTheme="minorHAnsi" w:hAnsiTheme="minorHAnsi" w:cstheme="minorHAnsi"/>
          <w:color w:val="0F243E" w:themeColor="text2" w:themeShade="80"/>
          <w:szCs w:val="32"/>
        </w:rPr>
        <w:t>Acoustic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 bénéficie d’un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>classement U3P3E2/3C2 ou U4P3E2/3C2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, selon configuration. Son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>impact carbone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 </w:t>
      </w:r>
      <w:r w:rsidR="00615BAF">
        <w:rPr>
          <w:rFonts w:asciiTheme="minorHAnsi" w:hAnsiTheme="minorHAnsi" w:cstheme="minorHAnsi"/>
          <w:color w:val="0F243E" w:themeColor="text2" w:themeShade="80"/>
          <w:szCs w:val="32"/>
        </w:rPr>
        <w:t xml:space="preserve">est mentionné dans 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la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 xml:space="preserve">FDES 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>sur la base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 xml:space="preserve"> INIES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>.</w:t>
      </w:r>
    </w:p>
    <w:p w14:paraId="6DBEF548" w14:textId="77777777" w:rsidR="00487017" w:rsidRPr="00342D97" w:rsidRDefault="00487017" w:rsidP="00342D97">
      <w:pPr>
        <w:pStyle w:val="Corpsdetexte"/>
        <w:spacing w:line="276" w:lineRule="auto"/>
        <w:ind w:left="-142"/>
        <w:rPr>
          <w:rFonts w:asciiTheme="minorHAnsi" w:hAnsiTheme="minorHAnsi" w:cstheme="minorHAnsi"/>
          <w:color w:val="0F243E" w:themeColor="text2" w:themeShade="80"/>
          <w:sz w:val="20"/>
        </w:rPr>
      </w:pPr>
    </w:p>
    <w:p w14:paraId="1F6171D8" w14:textId="77777777" w:rsidR="00E478F0" w:rsidRPr="00342D97" w:rsidRDefault="00E478F0">
      <w:pPr>
        <w:pStyle w:val="Corpsdetexte"/>
        <w:rPr>
          <w:rFonts w:asciiTheme="minorHAnsi" w:hAnsiTheme="minorHAnsi" w:cstheme="minorHAnsi"/>
          <w:sz w:val="20"/>
        </w:rPr>
      </w:pPr>
    </w:p>
    <w:p w14:paraId="1D15ABB6" w14:textId="77777777" w:rsidR="00615BAF" w:rsidRPr="005D7168" w:rsidRDefault="00615BAF">
      <w:pPr>
        <w:pStyle w:val="Corpsdetexte"/>
        <w:rPr>
          <w:rFonts w:asciiTheme="minorHAnsi" w:hAnsiTheme="minorHAnsi" w:cstheme="minorHAnsi"/>
          <w:sz w:val="20"/>
        </w:rPr>
      </w:pPr>
    </w:p>
    <w:p w14:paraId="766A3A93" w14:textId="77777777" w:rsidR="00342D97" w:rsidRPr="005D7168" w:rsidRDefault="00342D97">
      <w:pPr>
        <w:pStyle w:val="Corpsdetexte"/>
        <w:rPr>
          <w:sz w:val="20"/>
        </w:rPr>
      </w:pPr>
    </w:p>
    <w:p w14:paraId="5720DF22" w14:textId="77777777" w:rsidR="00487017" w:rsidRPr="005D7168" w:rsidRDefault="00487017">
      <w:pPr>
        <w:pStyle w:val="Corpsdetexte"/>
        <w:rPr>
          <w:sz w:val="20"/>
        </w:rPr>
      </w:pPr>
    </w:p>
    <w:p w14:paraId="2A2D9C82" w14:textId="77777777" w:rsidR="00487017" w:rsidRPr="005D7168" w:rsidRDefault="00487017">
      <w:pPr>
        <w:pStyle w:val="Corpsdetexte"/>
        <w:rPr>
          <w:sz w:val="20"/>
        </w:rPr>
      </w:pPr>
    </w:p>
    <w:p w14:paraId="6CE12374" w14:textId="77777777" w:rsidR="00487017" w:rsidRPr="005D7168" w:rsidRDefault="00487017">
      <w:pPr>
        <w:pStyle w:val="Corpsdetexte"/>
        <w:rPr>
          <w:sz w:val="20"/>
        </w:rPr>
      </w:pPr>
    </w:p>
    <w:p w14:paraId="46AD2957" w14:textId="77777777" w:rsidR="00487017" w:rsidRPr="005D7168" w:rsidRDefault="00487017">
      <w:pPr>
        <w:pStyle w:val="Corpsdetexte"/>
        <w:rPr>
          <w:sz w:val="20"/>
        </w:rPr>
      </w:pPr>
    </w:p>
    <w:p w14:paraId="355DC703" w14:textId="77777777" w:rsidR="00487017" w:rsidRPr="005D7168" w:rsidRDefault="00487017">
      <w:pPr>
        <w:pStyle w:val="Corpsdetexte"/>
        <w:rPr>
          <w:sz w:val="20"/>
        </w:rPr>
      </w:pPr>
    </w:p>
    <w:p w14:paraId="529A89AA" w14:textId="77777777" w:rsidR="00342D97" w:rsidRPr="005D7168" w:rsidRDefault="00342D97">
      <w:pPr>
        <w:pStyle w:val="Corpsdetexte"/>
        <w:rPr>
          <w:sz w:val="20"/>
        </w:rPr>
      </w:pPr>
    </w:p>
    <w:p w14:paraId="5149DDD9" w14:textId="77777777" w:rsidR="00342D97" w:rsidRPr="005D7168" w:rsidRDefault="00342D97">
      <w:pPr>
        <w:pStyle w:val="Corpsdetexte"/>
        <w:rPr>
          <w:sz w:val="20"/>
        </w:rPr>
      </w:pPr>
    </w:p>
    <w:p w14:paraId="6FF2A448" w14:textId="77777777" w:rsidR="00E478F0" w:rsidRPr="005D7168" w:rsidRDefault="00E478F0">
      <w:pPr>
        <w:pStyle w:val="Corpsdetexte"/>
        <w:rPr>
          <w:sz w:val="20"/>
        </w:rPr>
      </w:pPr>
    </w:p>
    <w:p w14:paraId="4A95457B" w14:textId="77777777" w:rsidR="00E478F0" w:rsidRPr="005D7168" w:rsidRDefault="00E478F0">
      <w:pPr>
        <w:pStyle w:val="Corpsdetexte"/>
        <w:rPr>
          <w:sz w:val="20"/>
        </w:rPr>
      </w:pPr>
    </w:p>
    <w:p w14:paraId="5B976C1A" w14:textId="0E7C918A" w:rsidR="00E478F0" w:rsidRPr="005D7168" w:rsidRDefault="00487017">
      <w:pPr>
        <w:pStyle w:val="Corpsdetexte"/>
        <w:spacing w:before="6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022A6455" wp14:editId="0EE1FB91">
                <wp:simplePos x="0" y="0"/>
                <wp:positionH relativeFrom="page">
                  <wp:posOffset>900430</wp:posOffset>
                </wp:positionH>
                <wp:positionV relativeFrom="paragraph">
                  <wp:posOffset>216535</wp:posOffset>
                </wp:positionV>
                <wp:extent cx="5759450" cy="1270"/>
                <wp:effectExtent l="0" t="0" r="0" b="0"/>
                <wp:wrapTopAndBottom/>
                <wp:docPr id="640665678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59450" cy="1270"/>
                        </a:xfrm>
                        <a:custGeom>
                          <a:avLst/>
                          <a:gdLst>
                            <a:gd name="T0" fmla="+- 0 1418 1418"/>
                            <a:gd name="T1" fmla="*/ T0 w 9070"/>
                            <a:gd name="T2" fmla="+- 0 10488 1418"/>
                            <a:gd name="T3" fmla="*/ T2 w 907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070">
                              <a:moveTo>
                                <a:pt x="0" y="0"/>
                              </a:moveTo>
                              <a:lnTo>
                                <a:pt x="9070" y="0"/>
                              </a:lnTo>
                            </a:path>
                          </a:pathLst>
                        </a:cu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8DCC73" id="Freeform 2" o:spid="_x0000_s1026" style="position:absolute;margin-left:70.9pt;margin-top:17.05pt;width:453.5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NfvjwIAAIAFAAAOAAAAZHJzL2Uyb0RvYy54bWysVNtu2zAMfR+wfxD0uKG1nSVrY9QphnYd&#10;BnQXoNkHKLIcG5NFTVLitF8/irZTL9tehvlBIE3q8PAiXl0fWs32yvkGTMGz85QzZSSUjdkW/Nv6&#10;7uySMx+EKYUGowr+qDy/Xr18cdXZXM2gBl0qxxDE+LyzBa9DsHmSeFmrVvhzsMqgsQLXioCq2yal&#10;Ex2itzqZpenbpANXWgdSeY9/b3sjXxF+VSkZvlSVV4HpgiO3QKejcxPPZHUl8q0Ttm7kQEP8A4tW&#10;NAaDHqFuRRBs55rfoNpGOvBQhXMJbQJV1UhFOWA2WXqSzUMtrKJcsDjeHsvk/x+s/Lx/sF9dpO7t&#10;PcjvHiuSdNbnR0tUPPqwTfcJSuyh2AWgZA+Va+NNTIMdqKaPx5qqQ2ASfy4uFsv5Aksv0ZbNLqjk&#10;icjHu3LnwwcFhCP29z70HSlRonqWzIgWg64Romo1Nuf1GUtZNs8u6Rg6eHTLRrdXCVunrGPLtI+J&#10;vTk6zUanHiudX/4Z7M3oF8FmEzBMYDtSFPXIWh7MQBslJuITSKlQFnws0BrJjRVCBHSKKf7FF2Of&#10;+vZ3hhAOZ/t0qh1nONWbviZWhMgshogi6wpOtYg/WtirNZApnLQOgzxbtZl60fUpq96MN2IAnJte&#10;oKCR66S1Bu4aram32kQq2TLFqYgMPOimjFZS3HZzox3bi/hg6YvZINovbg52piS0Wony/SAH0ehe&#10;Rn+NxaVBjrMb94HPN1A+4hw76NcAri0UanBPnHW4Agruf+yEU5zpjwbf2DKbz+POIGW+uJih4qaW&#10;zdQijESoggeOnY/iTej3zM66ZltjpIzSNfAO30/VxEEnfj2rQcFnTtkOKynukalOXs+Lc/UTAAD/&#10;/wMAUEsDBBQABgAIAAAAIQAaedAc3QAAAAoBAAAPAAAAZHJzL2Rvd25yZXYueG1sTI/BTsMwEETv&#10;SPyDtUjcqJ02QlWIU0GkXhGUItSbG2+TlHgdxW4a/p7NCY4zO5p9k28m14kRh9B60pAsFAikytuW&#10;ag37j+3DGkSIhqzpPKGGHwywKW5vcpNZf6V3HHexFlxCITMamhj7TMpQNehMWPgeiW8nPzgTWQ61&#10;tIO5crnr5FKpR+lMS/yhMT2WDVbfu4vT8Dqp89dwSMry7fPwMnqrtuVyr/X93fT8BCLiFP/CMOMz&#10;OhTMdPQXskF0rNOE0aOGVZqAmAMqXbNznJ0VyCKX/ycUvwAAAP//AwBQSwECLQAUAAYACAAAACEA&#10;toM4kv4AAADhAQAAEwAAAAAAAAAAAAAAAAAAAAAAW0NvbnRlbnRfVHlwZXNdLnhtbFBLAQItABQA&#10;BgAIAAAAIQA4/SH/1gAAAJQBAAALAAAAAAAAAAAAAAAAAC8BAABfcmVscy8ucmVsc1BLAQItABQA&#10;BgAIAAAAIQAMwNfvjwIAAIAFAAAOAAAAAAAAAAAAAAAAAC4CAABkcnMvZTJvRG9jLnhtbFBLAQIt&#10;ABQABgAIAAAAIQAaedAc3QAAAAoBAAAPAAAAAAAAAAAAAAAAAOkEAABkcnMvZG93bnJldi54bWxQ&#10;SwUGAAAAAAQABADzAAAA8wUAAAAA&#10;" path="m,l9070,e" filled="f" strokeweight="1.5pt">
                <v:path arrowok="t" o:connecttype="custom" o:connectlocs="0,0;5759450,0" o:connectangles="0,0"/>
                <w10:wrap type="topAndBottom" anchorx="page"/>
              </v:shape>
            </w:pict>
          </mc:Fallback>
        </mc:AlternateContent>
      </w:r>
    </w:p>
    <w:p w14:paraId="5B1B1B47" w14:textId="77777777" w:rsidR="00E478F0" w:rsidRDefault="00651C80">
      <w:pPr>
        <w:tabs>
          <w:tab w:val="left" w:pos="8357"/>
        </w:tabs>
        <w:spacing w:before="12"/>
        <w:ind w:left="120"/>
        <w:rPr>
          <w:rFonts w:ascii="Arial" w:hAnsi="Arial"/>
          <w:b/>
          <w:sz w:val="20"/>
        </w:rPr>
      </w:pPr>
      <w:r>
        <w:rPr>
          <w:rFonts w:ascii="Arial" w:hAnsi="Arial"/>
          <w:b/>
          <w:color w:val="00163F"/>
          <w:sz w:val="20"/>
        </w:rPr>
        <w:t>Modèle</w:t>
      </w:r>
      <w:r>
        <w:rPr>
          <w:rFonts w:ascii="Arial" w:hAnsi="Arial"/>
          <w:b/>
          <w:color w:val="00163F"/>
          <w:spacing w:val="-3"/>
          <w:sz w:val="20"/>
        </w:rPr>
        <w:t xml:space="preserve"> </w:t>
      </w:r>
      <w:r>
        <w:rPr>
          <w:rFonts w:ascii="Arial" w:hAnsi="Arial"/>
          <w:b/>
          <w:color w:val="00163F"/>
          <w:sz w:val="20"/>
        </w:rPr>
        <w:t>de</w:t>
      </w:r>
      <w:r>
        <w:rPr>
          <w:rFonts w:ascii="Arial" w:hAnsi="Arial"/>
          <w:b/>
          <w:color w:val="00163F"/>
          <w:spacing w:val="-5"/>
          <w:sz w:val="20"/>
        </w:rPr>
        <w:t xml:space="preserve"> </w:t>
      </w:r>
      <w:r>
        <w:rPr>
          <w:rFonts w:ascii="Arial" w:hAnsi="Arial"/>
          <w:b/>
          <w:color w:val="00163F"/>
          <w:sz w:val="20"/>
        </w:rPr>
        <w:t>descriptif</w:t>
      </w:r>
      <w:r>
        <w:rPr>
          <w:rFonts w:ascii="Arial" w:hAnsi="Arial"/>
          <w:b/>
          <w:color w:val="00163F"/>
          <w:sz w:val="20"/>
        </w:rPr>
        <w:tab/>
        <w:t>gerflor.fr</w:t>
      </w:r>
    </w:p>
    <w:sectPr w:rsidR="00E478F0">
      <w:type w:val="continuous"/>
      <w:pgSz w:w="11910" w:h="16840"/>
      <w:pgMar w:top="1180" w:right="130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8F0"/>
    <w:rsid w:val="002C2965"/>
    <w:rsid w:val="00342D97"/>
    <w:rsid w:val="00363C7E"/>
    <w:rsid w:val="00487017"/>
    <w:rsid w:val="005D7168"/>
    <w:rsid w:val="00615BAF"/>
    <w:rsid w:val="00651C80"/>
    <w:rsid w:val="008B3E1F"/>
    <w:rsid w:val="009B55D4"/>
    <w:rsid w:val="00E13EEC"/>
    <w:rsid w:val="00E478F0"/>
    <w:rsid w:val="00F80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5CB102"/>
  <w15:docId w15:val="{FAADA6DD-1574-4E2F-A76D-46D4BA600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4"/>
      <w:szCs w:val="24"/>
    </w:rPr>
  </w:style>
  <w:style w:type="paragraph" w:styleId="Titre">
    <w:name w:val="Title"/>
    <w:basedOn w:val="Normal"/>
    <w:uiPriority w:val="10"/>
    <w:qFormat/>
    <w:pPr>
      <w:spacing w:before="66"/>
      <w:ind w:left="4870"/>
    </w:pPr>
    <w:rPr>
      <w:rFonts w:ascii="Arial MT" w:eastAsia="Arial MT" w:hAnsi="Arial MT" w:cs="Arial MT"/>
      <w:sz w:val="32"/>
      <w:szCs w:val="32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262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gerflor</dc:creator>
  <cp:lastModifiedBy>BOLUDA Samantha</cp:lastModifiedBy>
  <cp:revision>3</cp:revision>
  <dcterms:created xsi:type="dcterms:W3CDTF">2026-06-23T09:26:00Z</dcterms:created>
  <dcterms:modified xsi:type="dcterms:W3CDTF">2026-06-23T09:28:00Z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2021-03-29T00:00:00Z</vt:filetime>
  </property>
  <property fmtid="{D5CDD505-2E9C-101B-9397-08002B2CF9AE}" pid="3" name="Creator">
    <vt:lpwstr>Writer</vt:lpwstr>
  </property>
  <property fmtid="{D5CDD505-2E9C-101B-9397-08002B2CF9AE}" pid="4" name="LastSaved">
    <vt:filetime>2021-03-29T00:00:00Z</vt:filetime>
  </property>
</Properties>
</file>